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52" w:rsidRDefault="005F4652" w:rsidP="005F4652"/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niekaralności za ściganie z oskarżenia publicznego i umyślne popełnione przestępstwo lub przestępstwo skarbowe, oraz                       o 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1E5063">
        <w:rPr>
          <w:rFonts w:ascii="Arial" w:hAnsi="Arial" w:cs="Arial"/>
          <w:sz w:val="28"/>
          <w:szCs w:val="28"/>
          <w:lang w:eastAsia="en-US"/>
        </w:rPr>
        <w:t>omocnym wyrokiem sądu za 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 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  <w:bookmarkStart w:id="0" w:name="_GoBack"/>
      <w:bookmarkEnd w:id="0"/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Korzystam z pełni praw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52"/>
    <w:rsid w:val="001817AB"/>
    <w:rsid w:val="001E5063"/>
    <w:rsid w:val="002020F5"/>
    <w:rsid w:val="005F4652"/>
    <w:rsid w:val="007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Katarzyna Rajewska</cp:lastModifiedBy>
  <cp:revision>3</cp:revision>
  <cp:lastPrinted>2016-10-10T12:21:00Z</cp:lastPrinted>
  <dcterms:created xsi:type="dcterms:W3CDTF">2016-06-09T07:22:00Z</dcterms:created>
  <dcterms:modified xsi:type="dcterms:W3CDTF">2016-10-10T12:35:00Z</dcterms:modified>
</cp:coreProperties>
</file>